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6.1 Administering medicines </w:t>
      </w:r>
      <w:r w:rsidDel="00000000" w:rsidR="00000000" w:rsidRPr="00000000">
        <w:rPr>
          <w:rFonts w:ascii="Arial" w:cs="Arial" w:eastAsia="Arial" w:hAnsi="Arial"/>
          <w:b w:val="1"/>
          <w:sz w:val="20"/>
          <w:szCs w:val="20"/>
          <w:highlight w:val="yellow"/>
          <w:vertAlign w:val="baseline"/>
          <w:rtl w:val="0"/>
        </w:rPr>
        <w:t xml:space="preserve">(updated </w:t>
      </w:r>
      <w:r w:rsidDel="00000000" w:rsidR="00000000" w:rsidRPr="00000000">
        <w:rPr>
          <w:rFonts w:ascii="Arial" w:cs="Arial" w:eastAsia="Arial" w:hAnsi="Arial"/>
          <w:b w:val="1"/>
          <w:sz w:val="20"/>
          <w:szCs w:val="20"/>
          <w:highlight w:val="yellow"/>
          <w:rtl w:val="0"/>
        </w:rPr>
        <w:t xml:space="preserve">August </w:t>
      </w:r>
      <w:r w:rsidDel="00000000" w:rsidR="00000000" w:rsidRPr="00000000">
        <w:rPr>
          <w:rFonts w:ascii="Arial" w:cs="Arial" w:eastAsia="Arial" w:hAnsi="Arial"/>
          <w:b w:val="1"/>
          <w:sz w:val="20"/>
          <w:szCs w:val="20"/>
          <w:highlight w:val="yellow"/>
          <w:vertAlign w:val="baseline"/>
          <w:rtl w:val="0"/>
        </w:rPr>
        <w:t xml:space="preserve">20</w:t>
      </w:r>
      <w:r w:rsidDel="00000000" w:rsidR="00000000" w:rsidRPr="00000000">
        <w:rPr>
          <w:rFonts w:ascii="Arial" w:cs="Arial" w:eastAsia="Arial" w:hAnsi="Arial"/>
          <w:b w:val="1"/>
          <w:sz w:val="20"/>
          <w:szCs w:val="20"/>
          <w:highlight w:val="yellow"/>
          <w:rtl w:val="0"/>
        </w:rPr>
        <w:t xml:space="preserve">23</w:t>
      </w:r>
      <w:r w:rsidDel="00000000" w:rsidR="00000000" w:rsidRPr="00000000">
        <w:rPr>
          <w:rFonts w:ascii="Arial" w:cs="Arial" w:eastAsia="Arial" w:hAnsi="Arial"/>
          <w:b w:val="1"/>
          <w:sz w:val="20"/>
          <w:szCs w:val="20"/>
          <w:highlight w:val="yellow"/>
          <w:vertAlign w:val="baseline"/>
          <w:rtl w:val="0"/>
        </w:rPr>
        <w:t xml:space="preserve">)</w:t>
      </w:r>
      <w:r w:rsidDel="00000000" w:rsidR="00000000" w:rsidRPr="00000000">
        <w:rPr>
          <w:rtl w:val="0"/>
        </w:rPr>
      </w:r>
    </w:p>
    <w:p w:rsidR="00000000" w:rsidDel="00000000" w:rsidP="00000000" w:rsidRDefault="00000000" w:rsidRPr="00000000" w14:paraId="00000003">
      <w:pPr>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Policy statement</w:t>
      </w: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While it is not our policy to care for sick children, who should be at home until they are well enough to return to the setting, we will agree to administer medication as part of maintaining their health and well-being or when they are recovering from an illness. We ensure that where medicines are necessary to maintain health of the child, they are given correctly and in accordance with legal requirements.</w:t>
      </w:r>
    </w:p>
    <w:p w:rsidR="00000000" w:rsidDel="00000000" w:rsidP="00000000" w:rsidRDefault="00000000" w:rsidRPr="00000000" w14:paraId="00000006">
      <w:pPr>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many cases, it is possible for children’s GPs to prescribe medicine that can be taken at home in the morning and evening. As far as possible, administering medicines will only be done where it would be detrimental to the child’s health if not given in the setting. If a child has not had a medication before, it is advised that the parent keeps the child at home for the first 48 hours to ensure there are no adverse effects, as well as to give time for the medication to take effect.</w:t>
      </w:r>
    </w:p>
    <w:p w:rsidR="00000000" w:rsidDel="00000000" w:rsidP="00000000" w:rsidRDefault="00000000" w:rsidRPr="00000000" w14:paraId="00000008">
      <w:pPr>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Our staff are responsible for the correct administration of medication to children for whom they are the key person. This includes ensuring that parent consent forms have been completed, that medicines are stored correctly and that records are kept according to procedures. The manager and area leaders are responsible for the overseeing of administering medication.</w:t>
      </w:r>
      <w:r w:rsidDel="00000000" w:rsidR="00000000" w:rsidRPr="00000000">
        <w:rPr>
          <w:rFonts w:ascii="Arial" w:cs="Arial" w:eastAsia="Arial" w:hAnsi="Arial"/>
          <w:color w:val="ff0000"/>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We will notify our insurance provider of all required conditions, as laid out in our insurance policy.</w:t>
      </w:r>
    </w:p>
    <w:p w:rsidR="00000000" w:rsidDel="00000000" w:rsidP="00000000" w:rsidRDefault="00000000" w:rsidRPr="00000000" w14:paraId="0000000A">
      <w:pPr>
        <w:spacing w:line="360" w:lineRule="auto"/>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Procedures</w:t>
      </w:r>
      <w:r w:rsidDel="00000000" w:rsidR="00000000" w:rsidRPr="00000000">
        <w:rPr>
          <w:rtl w:val="0"/>
        </w:rPr>
      </w:r>
    </w:p>
    <w:p w:rsidR="00000000" w:rsidDel="00000000" w:rsidP="00000000" w:rsidRDefault="00000000" w:rsidRPr="00000000" w14:paraId="0000000C">
      <w:pPr>
        <w:numPr>
          <w:ilvl w:val="0"/>
          <w:numId w:val="5"/>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Children taking prescribed medication must be well enough to attend the setting.</w:t>
      </w:r>
    </w:p>
    <w:p w:rsidR="00000000" w:rsidDel="00000000" w:rsidP="00000000" w:rsidRDefault="00000000" w:rsidRPr="00000000" w14:paraId="0000000D">
      <w:pPr>
        <w:numPr>
          <w:ilvl w:val="0"/>
          <w:numId w:val="5"/>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only usually administer medication when it has been prescribed for a child by a doctor (or other medically qualified person). It must be in-date and prescribed for the current condition. </w:t>
      </w:r>
    </w:p>
    <w:p w:rsidR="00000000" w:rsidDel="00000000" w:rsidP="00000000" w:rsidRDefault="00000000" w:rsidRPr="00000000" w14:paraId="0000000E">
      <w:pPr>
        <w:numPr>
          <w:ilvl w:val="0"/>
          <w:numId w:val="5"/>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Non-prescription medication, such as pain or fever relief (e.g. Calpol) and teething gel, may be administered </w:t>
      </w:r>
      <w:r w:rsidDel="00000000" w:rsidR="00000000" w:rsidRPr="00000000">
        <w:rPr>
          <w:rFonts w:ascii="Arial" w:cs="Arial" w:eastAsia="Arial" w:hAnsi="Arial"/>
          <w:sz w:val="22"/>
          <w:szCs w:val="22"/>
          <w:highlight w:val="yellow"/>
          <w:vertAlign w:val="baseline"/>
          <w:rtl w:val="0"/>
        </w:rPr>
        <w:t xml:space="preserve">by parents, but only when there is a health reason to do so such as teething</w:t>
      </w:r>
      <w:r w:rsidDel="00000000" w:rsidR="00000000" w:rsidRPr="00000000">
        <w:rPr>
          <w:rFonts w:ascii="Arial" w:cs="Arial" w:eastAsia="Arial" w:hAnsi="Arial"/>
          <w:sz w:val="22"/>
          <w:szCs w:val="22"/>
          <w:vertAlign w:val="baseline"/>
          <w:rtl w:val="0"/>
        </w:rPr>
        <w:t xml:space="preserve">. Children under the age of 16 years are never given medicines containing aspirin unless prescribed specifically for that child by a doctor. The administering of un-prescribed medication is recorded in the same way as any other medication. </w:t>
      </w:r>
    </w:p>
    <w:p w:rsidR="00000000" w:rsidDel="00000000" w:rsidP="00000000" w:rsidRDefault="00000000" w:rsidRPr="00000000" w14:paraId="0000000F">
      <w:pPr>
        <w:numPr>
          <w:ilvl w:val="0"/>
          <w:numId w:val="5"/>
        </w:numPr>
        <w:spacing w:line="360" w:lineRule="auto"/>
        <w:ind w:left="36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Staff are </w:t>
      </w:r>
      <w:r w:rsidDel="00000000" w:rsidR="00000000" w:rsidRPr="00000000">
        <w:rPr>
          <w:rFonts w:ascii="Arial" w:cs="Arial" w:eastAsia="Arial" w:hAnsi="Arial"/>
          <w:sz w:val="22"/>
          <w:szCs w:val="22"/>
          <w:highlight w:val="yellow"/>
          <w:u w:val="single"/>
          <w:rtl w:val="0"/>
        </w:rPr>
        <w:t xml:space="preserve">not </w:t>
      </w:r>
      <w:r w:rsidDel="00000000" w:rsidR="00000000" w:rsidRPr="00000000">
        <w:rPr>
          <w:rFonts w:ascii="Arial" w:cs="Arial" w:eastAsia="Arial" w:hAnsi="Arial"/>
          <w:sz w:val="22"/>
          <w:szCs w:val="22"/>
          <w:highlight w:val="yellow"/>
          <w:rtl w:val="0"/>
        </w:rPr>
        <w:t xml:space="preserve">permitted to administer non-prescribed medications</w:t>
      </w:r>
    </w:p>
    <w:p w:rsidR="00000000" w:rsidDel="00000000" w:rsidP="00000000" w:rsidRDefault="00000000" w:rsidRPr="00000000" w14:paraId="00000010">
      <w:pPr>
        <w:numPr>
          <w:ilvl w:val="0"/>
          <w:numId w:val="5"/>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Children's prescribed medicines are stored in their original containers, are clearly labelled and are inaccessible to the children. On receiving the medication, the member of staff checks that it is in date and prescribed specifically for the current condition.</w:t>
      </w:r>
    </w:p>
    <w:p w:rsidR="00000000" w:rsidDel="00000000" w:rsidP="00000000" w:rsidRDefault="00000000" w:rsidRPr="00000000" w14:paraId="00000011">
      <w:pPr>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2">
      <w:pPr>
        <w:numPr>
          <w:ilvl w:val="0"/>
          <w:numId w:val="7"/>
        </w:numPr>
        <w:spacing w:line="3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Parents must give prior written permission for the administration of medication. The staff member receiving the medication will ask the parent to sign a consent form stating the following information. No medication may be given without these details being provided:</w:t>
      </w:r>
    </w:p>
    <w:p w:rsidR="00000000" w:rsidDel="00000000" w:rsidP="00000000" w:rsidRDefault="00000000" w:rsidRPr="00000000" w14:paraId="00000013">
      <w:pPr>
        <w:numPr>
          <w:ilvl w:val="0"/>
          <w:numId w:val="2"/>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full name of child and date of birth;</w:t>
      </w:r>
    </w:p>
    <w:p w:rsidR="00000000" w:rsidDel="00000000" w:rsidP="00000000" w:rsidRDefault="00000000" w:rsidRPr="00000000" w14:paraId="00000014">
      <w:pPr>
        <w:numPr>
          <w:ilvl w:val="0"/>
          <w:numId w:val="2"/>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name of medication and strength;</w:t>
      </w:r>
    </w:p>
    <w:p w:rsidR="00000000" w:rsidDel="00000000" w:rsidP="00000000" w:rsidRDefault="00000000" w:rsidRPr="00000000" w14:paraId="00000015">
      <w:pPr>
        <w:numPr>
          <w:ilvl w:val="0"/>
          <w:numId w:val="2"/>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who prescribed it;</w:t>
      </w:r>
    </w:p>
    <w:p w:rsidR="00000000" w:rsidDel="00000000" w:rsidP="00000000" w:rsidRDefault="00000000" w:rsidRPr="00000000" w14:paraId="00000016">
      <w:pPr>
        <w:numPr>
          <w:ilvl w:val="0"/>
          <w:numId w:val="3"/>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dosage and times to be given in the setting;</w:t>
      </w:r>
    </w:p>
    <w:p w:rsidR="00000000" w:rsidDel="00000000" w:rsidP="00000000" w:rsidRDefault="00000000" w:rsidRPr="00000000" w14:paraId="00000017">
      <w:pPr>
        <w:numPr>
          <w:ilvl w:val="0"/>
          <w:numId w:val="3"/>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method of administration;</w:t>
      </w:r>
    </w:p>
    <w:p w:rsidR="00000000" w:rsidDel="00000000" w:rsidP="00000000" w:rsidRDefault="00000000" w:rsidRPr="00000000" w14:paraId="00000018">
      <w:pPr>
        <w:numPr>
          <w:ilvl w:val="0"/>
          <w:numId w:val="3"/>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how the medication should be stored and its expiry date;</w:t>
      </w:r>
    </w:p>
    <w:p w:rsidR="00000000" w:rsidDel="00000000" w:rsidP="00000000" w:rsidRDefault="00000000" w:rsidRPr="00000000" w14:paraId="00000019">
      <w:pPr>
        <w:numPr>
          <w:ilvl w:val="0"/>
          <w:numId w:val="3"/>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any possible side effects that may be expected; and</w:t>
      </w:r>
    </w:p>
    <w:p w:rsidR="00000000" w:rsidDel="00000000" w:rsidP="00000000" w:rsidRDefault="00000000" w:rsidRPr="00000000" w14:paraId="0000001A">
      <w:pPr>
        <w:numPr>
          <w:ilvl w:val="0"/>
          <w:numId w:val="3"/>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signature of the parent, their printed name and the date.</w:t>
      </w:r>
    </w:p>
    <w:p w:rsidR="00000000" w:rsidDel="00000000" w:rsidP="00000000" w:rsidRDefault="00000000" w:rsidRPr="00000000" w14:paraId="0000001B">
      <w:pPr>
        <w:numPr>
          <w:ilvl w:val="0"/>
          <w:numId w:val="4"/>
        </w:numPr>
        <w:spacing w:line="360" w:lineRule="auto"/>
        <w:ind w:left="426"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administration of medicine is recorded accurately on our medication record sheet each time it is given and is signed by the person administering the medication. Parents are shown the record at the end of the day and asked to sign the record sheet to acknowledge the administration of the medicine.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administration of prescribed medication requires medical knowledge, we obtain individual training for the relevant member of staff or staff team by a health professional.</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rectal diazepam is given, another member of staff must be present and co-signs the record book.</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child may self-administer. Where children are capable of understanding when they need medication, for example with asthma, they should be encouraged to tell a staff member what they need. However, this does not replace staff vigilance in knowing and responding when a child requires medication. </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monitor the medication record’s it is monitored to look at the frequency of medication given in the setting. For example, a high incidence of antibiotics being prescribed for a number of children at similar times may indicate a need for better infection control.</w:t>
      </w:r>
    </w:p>
    <w:p w:rsidR="00000000" w:rsidDel="00000000" w:rsidP="00000000" w:rsidRDefault="00000000" w:rsidRPr="00000000" w14:paraId="00000020">
      <w:pPr>
        <w:spacing w:line="360" w:lineRule="auto"/>
        <w:ind w:left="66"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1">
      <w:pPr>
        <w:spacing w:line="360" w:lineRule="auto"/>
        <w:ind w:left="66" w:firstLine="0"/>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Storage of medicines</w:t>
      </w:r>
      <w:r w:rsidDel="00000000" w:rsidR="00000000" w:rsidRPr="00000000">
        <w:rPr>
          <w:rtl w:val="0"/>
        </w:rPr>
      </w:r>
    </w:p>
    <w:p w:rsidR="00000000" w:rsidDel="00000000" w:rsidP="00000000" w:rsidRDefault="00000000" w:rsidRPr="00000000" w14:paraId="00000022">
      <w:pPr>
        <w:numPr>
          <w:ilvl w:val="0"/>
          <w:numId w:val="6"/>
        </w:numPr>
        <w:spacing w:line="360" w:lineRule="auto"/>
        <w:ind w:left="426"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medication is stored safely in a locked cupboard or refrigerated as required. Where the cupboard or refrigerator is not used solely for storing medicines, they are kept in a marked plastic box.</w:t>
      </w:r>
    </w:p>
    <w:p w:rsidR="00000000" w:rsidDel="00000000" w:rsidP="00000000" w:rsidRDefault="00000000" w:rsidRPr="00000000" w14:paraId="00000023">
      <w:pPr>
        <w:numPr>
          <w:ilvl w:val="0"/>
          <w:numId w:val="6"/>
        </w:numPr>
        <w:spacing w:line="360" w:lineRule="auto"/>
        <w:ind w:left="426"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For some conditions, medication may be kept in the setting to be administered on a regular or as-and-when- required basis. Key persons check that any medication held in the setting, is in date and return any out-of-date medication back to the parent.</w:t>
      </w:r>
    </w:p>
    <w:p w:rsidR="00000000" w:rsidDel="00000000" w:rsidP="00000000" w:rsidRDefault="00000000" w:rsidRPr="00000000" w14:paraId="00000024">
      <w:pPr>
        <w:pBdr>
          <w:top w:color="7030a0" w:space="1" w:sz="4" w:val="single"/>
          <w:left w:color="7030a0" w:space="4" w:sz="4" w:val="single"/>
          <w:bottom w:color="7030a0" w:space="1" w:sz="4" w:val="single"/>
          <w:right w:color="7030a0" w:space="4" w:sz="4" w:val="single"/>
        </w:pBdr>
        <w:spacing w:line="360" w:lineRule="auto"/>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Medication that is kept on the premises long term is stored in the medicine box.</w:t>
      </w:r>
      <w:r w:rsidDel="00000000" w:rsidR="00000000" w:rsidRPr="00000000">
        <w:rPr>
          <w:rtl w:val="0"/>
        </w:rPr>
      </w:r>
    </w:p>
    <w:p w:rsidR="00000000" w:rsidDel="00000000" w:rsidP="00000000" w:rsidRDefault="00000000" w:rsidRPr="00000000" w14:paraId="00000025">
      <w:pPr>
        <w:pBdr>
          <w:top w:color="7030a0" w:space="1" w:sz="4" w:val="single"/>
          <w:left w:color="7030a0" w:space="4" w:sz="4" w:val="single"/>
          <w:bottom w:color="7030a0" w:space="1" w:sz="4" w:val="single"/>
          <w:right w:color="7030a0" w:space="4" w:sz="4" w:val="single"/>
        </w:pBdr>
        <w:spacing w:line="360" w:lineRule="auto"/>
        <w:rPr>
          <w:rFonts w:ascii="Arial" w:cs="Arial" w:eastAsia="Arial" w:hAnsi="Arial"/>
          <w:sz w:val="22"/>
          <w:szCs w:val="22"/>
          <w:vertAlign w:val="baseline"/>
        </w:rPr>
      </w:pPr>
      <w:r w:rsidDel="00000000" w:rsidR="00000000" w:rsidRPr="00000000">
        <w:rPr>
          <w:rFonts w:ascii="Arial" w:cs="Arial" w:eastAsia="Arial" w:hAnsi="Arial"/>
          <w:i w:val="1"/>
          <w:sz w:val="22"/>
          <w:szCs w:val="22"/>
          <w:vertAlign w:val="baseline"/>
          <w:rtl w:val="0"/>
        </w:rPr>
        <w:t xml:space="preserve">Any medication that is brought in daily (i.e asthma sprays, nappy cream) in a child’s belongings is kept within their bag, however their bag will be kept in </w:t>
      </w:r>
      <w:r w:rsidDel="00000000" w:rsidR="00000000" w:rsidRPr="00000000">
        <w:rPr>
          <w:rFonts w:ascii="Arial" w:cs="Arial" w:eastAsia="Arial" w:hAnsi="Arial"/>
          <w:i w:val="1"/>
          <w:sz w:val="22"/>
          <w:szCs w:val="22"/>
          <w:highlight w:val="yellow"/>
          <w:vertAlign w:val="baseline"/>
          <w:rtl w:val="0"/>
        </w:rPr>
        <w:t xml:space="preserve">the nappy area</w:t>
      </w:r>
      <w:r w:rsidDel="00000000" w:rsidR="00000000" w:rsidRPr="00000000">
        <w:rPr>
          <w:rFonts w:ascii="Arial" w:cs="Arial" w:eastAsia="Arial" w:hAnsi="Arial"/>
          <w:i w:val="1"/>
          <w:sz w:val="22"/>
          <w:szCs w:val="22"/>
          <w:vertAlign w:val="baseline"/>
          <w:rtl w:val="0"/>
        </w:rPr>
        <w:t xml:space="preserve"> where access is not given to children. The child’s bag with medication in is handed over by a staff member to an appropriate person collecting the child directly.</w:t>
      </w:r>
      <w:r w:rsidDel="00000000" w:rsidR="00000000" w:rsidRPr="00000000">
        <w:rPr>
          <w:rtl w:val="0"/>
        </w:rPr>
      </w:r>
    </w:p>
    <w:p w:rsidR="00000000" w:rsidDel="00000000" w:rsidP="00000000" w:rsidRDefault="00000000" w:rsidRPr="00000000" w14:paraId="00000026">
      <w:pPr>
        <w:spacing w:line="360" w:lineRule="auto"/>
        <w:ind w:left="36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Children who have long term medical conditions and who may require ongoing medication</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carry out a risk assessment for each child with a long term medical condition that requires on-going medication. This is the responsibility of our manager alongside the key person. Other medical or social care personnel may need to be involved in the risk assessment.</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Parents will also contribute to a risk assessment. They should be shown around the setting, understand the routines and activities and point out anything which they think may be a risk factor for their child.</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some medical conditions, key staff will need to have training in a basic understanding of the condition, as well as how the medication is to be administered correctly. The training needs for staff form part of the risk assessment.</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risk assessment includes vigorous activities and any other activity that may give cause for concern regarding an individual child’s health needs.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risk assessment includes arrangements for taking medicines on outings and advice is sought from the child’s GP if necessary where there are concerns.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individual health plan for the child is drawn up with the parent; outlining the key persons role and what information must be shared with other adults who care for the child.</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individual health plan should include the measures to be taken in an emergency.</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review the individual health plan every six months, or more frequently if necessary. This includes reviewing the medication, e.g. changes to the medication or the dosage, any side effects noted etc.</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Parents receive a copy of the individual health plan and each contributor, including the parent, signs it.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Managing medicines on trips and outings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children are going on outings, the key person for the child will accompany the children with a risk assessment, or another member of staff who is fully informed about the child’s needs and/or medication.</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Medication for a child is taken in a sealed plastic box clearly labelled with the child’s name and the name of the medication. Inside the box is a copy of the consent form and a card to record when it has been given, including all the details that need to be recorded in the medication record as stated above.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returning to the setting the card is stapled to the medicine record sheet and the parent signs it.</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child on medication has to be taken to hospital, the child’s medication is taken in a sealed plastic box clearly labelled with the child’s name and the name of the medication. Inside the box is a copy of the consent form signed by the parent.</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procedure should be read alongside the outings procedure.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Legal framework</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Human Medicines Regulations (2012)</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Statutory Framework for EYFS (2017)</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88.999999999998" w:type="dxa"/>
        <w:jc w:val="left"/>
        <w:tblInd w:w="-108.0" w:type="dxa"/>
        <w:tblLayout w:type="fixed"/>
        <w:tblLook w:val="0000"/>
      </w:tblPr>
      <w:tblGrid>
        <w:gridCol w:w="5057"/>
        <w:gridCol w:w="3829"/>
        <w:gridCol w:w="2103"/>
        <w:tblGridChange w:id="0">
          <w:tblGrid>
            <w:gridCol w:w="5057"/>
            <w:gridCol w:w="3829"/>
            <w:gridCol w:w="2103"/>
          </w:tblGrid>
        </w:tblGridChange>
      </w:tblGrid>
      <w:tr>
        <w:trPr>
          <w:cantSplit w:val="0"/>
          <w:tblHeader w:val="0"/>
        </w:trPr>
        <w:tc>
          <w:tcPr>
            <w:vAlign w:val="top"/>
          </w:tcPr>
          <w:p w:rsidR="00000000" w:rsidDel="00000000" w:rsidP="00000000" w:rsidRDefault="00000000" w:rsidRPr="00000000" w14:paraId="0000004C">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This policy was adopted by</w:t>
            </w:r>
            <w:r w:rsidDel="00000000" w:rsidR="00000000" w:rsidRPr="00000000">
              <w:rPr>
                <w:rtl w:val="0"/>
              </w:rPr>
            </w:r>
          </w:p>
        </w:tc>
        <w:tc>
          <w:tcPr>
            <w:tcBorders>
              <w:bottom w:color="7030a0" w:space="0" w:sz="4" w:val="single"/>
            </w:tcBorders>
            <w:vAlign w:val="top"/>
          </w:tcPr>
          <w:p w:rsidR="00000000" w:rsidDel="00000000" w:rsidP="00000000" w:rsidRDefault="00000000" w:rsidRPr="00000000" w14:paraId="0000004D">
            <w:pPr>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Intake Pre School</w:t>
            </w:r>
          </w:p>
        </w:tc>
        <w:tc>
          <w:tcPr>
            <w:vAlign w:val="top"/>
          </w:tcPr>
          <w:p w:rsidR="00000000" w:rsidDel="00000000" w:rsidP="00000000" w:rsidRDefault="00000000" w:rsidRPr="00000000" w14:paraId="0000004E">
            <w:pPr>
              <w:spacing w:line="360" w:lineRule="auto"/>
              <w:rPr>
                <w:rFonts w:ascii="Arial" w:cs="Arial" w:eastAsia="Arial" w:hAnsi="Arial"/>
                <w:i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F">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On</w:t>
            </w:r>
            <w:r w:rsidDel="00000000" w:rsidR="00000000" w:rsidRPr="00000000">
              <w:rPr>
                <w:rtl w:val="0"/>
              </w:rPr>
            </w:r>
          </w:p>
        </w:tc>
        <w:tc>
          <w:tcPr>
            <w:tcBorders>
              <w:top w:color="7030a0" w:space="0" w:sz="4" w:val="single"/>
              <w:bottom w:color="7030a0" w:space="0" w:sz="4" w:val="single"/>
            </w:tcBorders>
            <w:vAlign w:val="top"/>
          </w:tcPr>
          <w:p w:rsidR="00000000" w:rsidDel="00000000" w:rsidP="00000000" w:rsidRDefault="00000000" w:rsidRPr="00000000" w14:paraId="00000050">
            <w:pPr>
              <w:spacing w:line="360" w:lineRule="auto"/>
              <w:rPr>
                <w:rFonts w:ascii="Arial" w:cs="Arial" w:eastAsia="Arial" w:hAnsi="Arial"/>
                <w:vertAlign w:val="baseline"/>
              </w:rPr>
            </w:pPr>
            <w:r w:rsidDel="00000000" w:rsidR="00000000" w:rsidRPr="00000000">
              <w:rPr>
                <w:rFonts w:ascii="Arial" w:cs="Arial" w:eastAsia="Arial" w:hAnsi="Arial"/>
                <w:rtl w:val="0"/>
              </w:rPr>
              <w:t xml:space="preserve">30/09/22</w:t>
            </w:r>
            <w:r w:rsidDel="00000000" w:rsidR="00000000" w:rsidRPr="00000000">
              <w:rPr>
                <w:rtl w:val="0"/>
              </w:rPr>
            </w:r>
          </w:p>
        </w:tc>
        <w:tc>
          <w:tcPr>
            <w:vAlign w:val="top"/>
          </w:tcPr>
          <w:p w:rsidR="00000000" w:rsidDel="00000000" w:rsidP="00000000" w:rsidRDefault="00000000" w:rsidRPr="00000000" w14:paraId="00000051">
            <w:pPr>
              <w:spacing w:line="360" w:lineRule="auto"/>
              <w:rPr>
                <w:rFonts w:ascii="Arial" w:cs="Arial" w:eastAsia="Arial" w:hAnsi="Arial"/>
                <w:i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2">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Date to be reviewed</w:t>
            </w:r>
            <w:r w:rsidDel="00000000" w:rsidR="00000000" w:rsidRPr="00000000">
              <w:rPr>
                <w:rtl w:val="0"/>
              </w:rPr>
            </w:r>
          </w:p>
        </w:tc>
        <w:tc>
          <w:tcPr>
            <w:tcBorders>
              <w:top w:color="7030a0" w:space="0" w:sz="4" w:val="single"/>
              <w:bottom w:color="7030a0" w:space="0" w:sz="4" w:val="single"/>
            </w:tcBorders>
            <w:vAlign w:val="top"/>
          </w:tcPr>
          <w:p w:rsidR="00000000" w:rsidDel="00000000" w:rsidP="00000000" w:rsidRDefault="00000000" w:rsidRPr="00000000" w14:paraId="00000053">
            <w:pPr>
              <w:spacing w:line="360" w:lineRule="auto"/>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54">
            <w:pPr>
              <w:spacing w:line="360" w:lineRule="auto"/>
              <w:rPr>
                <w:rFonts w:ascii="Arial" w:cs="Arial" w:eastAsia="Arial" w:hAnsi="Arial"/>
                <w:i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5">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Signed on behalf of the provider</w:t>
            </w:r>
            <w:r w:rsidDel="00000000" w:rsidR="00000000" w:rsidRPr="00000000">
              <w:rPr>
                <w:rtl w:val="0"/>
              </w:rPr>
            </w:r>
          </w:p>
        </w:tc>
        <w:tc>
          <w:tcPr>
            <w:gridSpan w:val="2"/>
            <w:tcBorders>
              <w:bottom w:color="7030a0" w:space="0" w:sz="4" w:val="single"/>
            </w:tcBorders>
            <w:vAlign w:val="top"/>
          </w:tcPr>
          <w:p w:rsidR="00000000" w:rsidDel="00000000" w:rsidP="00000000" w:rsidRDefault="00000000" w:rsidRPr="00000000" w14:paraId="00000056">
            <w:pPr>
              <w:spacing w:line="360" w:lineRule="auto"/>
              <w:rPr>
                <w:rFonts w:ascii="Arial" w:cs="Arial" w:eastAsia="Arial" w:hAnsi="Arial"/>
                <w:vertAlign w:val="baseline"/>
              </w:rPr>
            </w:pPr>
            <w:r w:rsidDel="00000000" w:rsidR="00000000" w:rsidRPr="00000000">
              <w:rPr>
                <w:rFonts w:ascii="Arial" w:cs="Arial" w:eastAsia="Arial" w:hAnsi="Arial"/>
                <w:rtl w:val="0"/>
              </w:rPr>
              <w:t xml:space="preserve">D.White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8">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Name of signatory</w:t>
            </w:r>
            <w:r w:rsidDel="00000000" w:rsidR="00000000" w:rsidRPr="00000000">
              <w:rPr>
                <w:rtl w:val="0"/>
              </w:rPr>
            </w:r>
          </w:p>
        </w:tc>
        <w:tc>
          <w:tcPr>
            <w:gridSpan w:val="2"/>
            <w:tcBorders>
              <w:top w:color="7030a0" w:space="0" w:sz="4" w:val="single"/>
              <w:left w:color="000000" w:space="0" w:sz="0" w:val="nil"/>
              <w:bottom w:color="7030a0" w:space="0" w:sz="4" w:val="single"/>
              <w:right w:color="000000" w:space="0" w:sz="0" w:val="nil"/>
            </w:tcBorders>
            <w:vAlign w:val="top"/>
          </w:tcPr>
          <w:p w:rsidR="00000000" w:rsidDel="00000000" w:rsidP="00000000" w:rsidRDefault="00000000" w:rsidRPr="00000000" w14:paraId="00000059">
            <w:pPr>
              <w:spacing w:line="360" w:lineRule="auto"/>
              <w:rPr>
                <w:rFonts w:ascii="Arial" w:cs="Arial" w:eastAsia="Arial" w:hAnsi="Arial"/>
                <w:vertAlign w:val="baseline"/>
              </w:rPr>
            </w:pPr>
            <w:r w:rsidDel="00000000" w:rsidR="00000000" w:rsidRPr="00000000">
              <w:rPr>
                <w:rFonts w:ascii="Arial" w:cs="Arial" w:eastAsia="Arial" w:hAnsi="Arial"/>
                <w:rtl w:val="0"/>
              </w:rPr>
              <w:t xml:space="preserve">Daniel White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B">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Role of signatory (e.g. chair, director or owner)</w:t>
            </w:r>
            <w:r w:rsidDel="00000000" w:rsidR="00000000" w:rsidRPr="00000000">
              <w:rPr>
                <w:rtl w:val="0"/>
              </w:rPr>
            </w:r>
          </w:p>
        </w:tc>
        <w:tc>
          <w:tcPr>
            <w:gridSpan w:val="2"/>
            <w:tcBorders>
              <w:top w:color="7030a0" w:space="0" w:sz="4" w:val="single"/>
              <w:left w:color="000000" w:space="0" w:sz="0" w:val="nil"/>
              <w:bottom w:color="7030a0" w:space="0" w:sz="4" w:val="single"/>
              <w:right w:color="000000" w:space="0" w:sz="0" w:val="nil"/>
            </w:tcBorders>
            <w:vAlign w:val="top"/>
          </w:tcPr>
          <w:p w:rsidR="00000000" w:rsidDel="00000000" w:rsidP="00000000" w:rsidRDefault="00000000" w:rsidRPr="00000000" w14:paraId="0000005C">
            <w:pPr>
              <w:spacing w:line="360" w:lineRule="auto"/>
              <w:rPr>
                <w:rFonts w:ascii="Arial" w:cs="Arial" w:eastAsia="Arial" w:hAnsi="Arial"/>
                <w:vertAlign w:val="baseline"/>
              </w:rPr>
            </w:pPr>
            <w:r w:rsidDel="00000000" w:rsidR="00000000" w:rsidRPr="00000000">
              <w:rPr>
                <w:rFonts w:ascii="Arial" w:cs="Arial" w:eastAsia="Arial" w:hAnsi="Arial"/>
                <w:rtl w:val="0"/>
              </w:rPr>
              <w:t xml:space="preserve">Chair</w:t>
            </w:r>
            <w:r w:rsidDel="00000000" w:rsidR="00000000" w:rsidRPr="00000000">
              <w:rPr>
                <w:rtl w:val="0"/>
              </w:rPr>
            </w:r>
          </w:p>
        </w:tc>
      </w:tr>
    </w:tbl>
    <w:p w:rsidR="00000000" w:rsidDel="00000000" w:rsidP="00000000" w:rsidRDefault="00000000" w:rsidRPr="00000000" w14:paraId="0000005E">
      <w:pPr>
        <w:spacing w:line="360" w:lineRule="auto"/>
        <w:ind w:left="360" w:firstLine="0"/>
        <w:rPr>
          <w:rFonts w:ascii="Arial" w:cs="Arial" w:eastAsia="Arial" w:hAnsi="Arial"/>
          <w:sz w:val="22"/>
          <w:szCs w:val="22"/>
          <w:vertAlign w:val="baseline"/>
        </w:rPr>
      </w:pPr>
      <w:r w:rsidDel="00000000" w:rsidR="00000000" w:rsidRPr="00000000">
        <w:rPr>
          <w:rtl w:val="0"/>
        </w:rPr>
      </w:r>
    </w:p>
    <w:sectPr>
      <w:headerReference r:id="rId7" w:type="first"/>
      <w:pgSz w:h="16839" w:w="11907" w:orient="portrait"/>
      <w:pgMar w:bottom="567" w:top="567" w:left="567" w:right="56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Arial-BoldMT"/>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Bdr>
        <w:top w:color="7030a0" w:space="1" w:sz="4" w:val="single"/>
        <w:left w:color="7030a0" w:space="4" w:sz="4" w:val="single"/>
        <w:bottom w:color="7030a0" w:space="1" w:sz="4" w:val="single"/>
        <w:right w:color="7030a0" w:space="4" w:sz="4" w:val="single"/>
      </w:pBdr>
      <w:spacing w:after="120" w:before="120" w:lineRule="auto"/>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Safeguarding and Welfare Requirement: Health</w:t>
    </w:r>
    <w:r w:rsidDel="00000000" w:rsidR="00000000" w:rsidRPr="00000000">
      <w:rPr>
        <w:rtl w:val="0"/>
      </w:rPr>
    </w:r>
  </w:p>
  <w:p w:rsidR="00000000" w:rsidDel="00000000" w:rsidP="00000000" w:rsidRDefault="00000000" w:rsidRPr="00000000" w14:paraId="00000060">
    <w:pPr>
      <w:pBdr>
        <w:top w:color="7030a0" w:space="1" w:sz="4" w:val="single"/>
        <w:left w:color="7030a0" w:space="4" w:sz="4" w:val="single"/>
        <w:bottom w:color="7030a0" w:space="1" w:sz="4" w:val="single"/>
        <w:right w:color="7030a0" w:space="4" w:sz="4" w:val="single"/>
      </w:pBdr>
      <w:spacing w:after="120" w:before="120" w:lineRule="auto"/>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Providers have and implement a policy, and procedures, for administering medicines. It must include systems for obtaining information about a child’s needs for medicines, and for keeping this information up-to-date.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color w:val="7030a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720" w:hanging="360"/>
      </w:pPr>
      <w:rPr>
        <w:rFonts w:ascii="Arial-BoldMT" w:cs="Arial-BoldMT" w:eastAsia="Arial-BoldMT" w:hAnsi="Arial-BoldMT"/>
        <w:b w:val="1"/>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0"/>
      <w:numFmt w:val="bullet"/>
      <w:lvlText w:val="-"/>
      <w:lvlJc w:val="left"/>
      <w:pPr>
        <w:ind w:left="720" w:hanging="360"/>
      </w:pPr>
      <w:rPr>
        <w:rFonts w:ascii="Arial-BoldMT" w:cs="Arial-BoldMT" w:eastAsia="Arial-BoldMT" w:hAnsi="Arial-BoldMT"/>
        <w:b w:val="1"/>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b w:val="1"/>
        <w:color w:val="8064a2"/>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color w:val="7030a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426" w:hanging="360"/>
      </w:pPr>
      <w:rPr>
        <w:rFonts w:ascii="Noto Sans Symbols" w:cs="Noto Sans Symbols" w:eastAsia="Noto Sans Symbols" w:hAnsi="Noto Sans Symbols"/>
        <w:color w:val="7030a0"/>
        <w:vertAlign w:val="baseline"/>
      </w:rPr>
    </w:lvl>
    <w:lvl w:ilvl="1">
      <w:start w:val="1"/>
      <w:numFmt w:val="bullet"/>
      <w:lvlText w:val="o"/>
      <w:lvlJc w:val="left"/>
      <w:pPr>
        <w:ind w:left="1146" w:hanging="360"/>
      </w:pPr>
      <w:rPr>
        <w:rFonts w:ascii="Courier New" w:cs="Courier New" w:eastAsia="Courier New" w:hAnsi="Courier New"/>
        <w:vertAlign w:val="baseline"/>
      </w:rPr>
    </w:lvl>
    <w:lvl w:ilvl="2">
      <w:start w:val="1"/>
      <w:numFmt w:val="bullet"/>
      <w:lvlText w:val="▪"/>
      <w:lvlJc w:val="left"/>
      <w:pPr>
        <w:ind w:left="1866" w:hanging="360"/>
      </w:pPr>
      <w:rPr>
        <w:rFonts w:ascii="Noto Sans Symbols" w:cs="Noto Sans Symbols" w:eastAsia="Noto Sans Symbols" w:hAnsi="Noto Sans Symbols"/>
        <w:vertAlign w:val="baseline"/>
      </w:rPr>
    </w:lvl>
    <w:lvl w:ilvl="3">
      <w:start w:val="1"/>
      <w:numFmt w:val="bullet"/>
      <w:lvlText w:val="●"/>
      <w:lvlJc w:val="left"/>
      <w:pPr>
        <w:ind w:left="2586" w:hanging="360"/>
      </w:pPr>
      <w:rPr>
        <w:rFonts w:ascii="Noto Sans Symbols" w:cs="Noto Sans Symbols" w:eastAsia="Noto Sans Symbols" w:hAnsi="Noto Sans Symbols"/>
        <w:vertAlign w:val="baseline"/>
      </w:rPr>
    </w:lvl>
    <w:lvl w:ilvl="4">
      <w:start w:val="1"/>
      <w:numFmt w:val="bullet"/>
      <w:lvlText w:val="o"/>
      <w:lvlJc w:val="left"/>
      <w:pPr>
        <w:ind w:left="3306" w:hanging="360"/>
      </w:pPr>
      <w:rPr>
        <w:rFonts w:ascii="Courier New" w:cs="Courier New" w:eastAsia="Courier New" w:hAnsi="Courier New"/>
        <w:vertAlign w:val="baseline"/>
      </w:rPr>
    </w:lvl>
    <w:lvl w:ilvl="5">
      <w:start w:val="1"/>
      <w:numFmt w:val="bullet"/>
      <w:lvlText w:val="▪"/>
      <w:lvlJc w:val="left"/>
      <w:pPr>
        <w:ind w:left="4026" w:hanging="360"/>
      </w:pPr>
      <w:rPr>
        <w:rFonts w:ascii="Noto Sans Symbols" w:cs="Noto Sans Symbols" w:eastAsia="Noto Sans Symbols" w:hAnsi="Noto Sans Symbols"/>
        <w:vertAlign w:val="baseline"/>
      </w:rPr>
    </w:lvl>
    <w:lvl w:ilvl="6">
      <w:start w:val="1"/>
      <w:numFmt w:val="bullet"/>
      <w:lvlText w:val="●"/>
      <w:lvlJc w:val="left"/>
      <w:pPr>
        <w:ind w:left="4746" w:hanging="360"/>
      </w:pPr>
      <w:rPr>
        <w:rFonts w:ascii="Noto Sans Symbols" w:cs="Noto Sans Symbols" w:eastAsia="Noto Sans Symbols" w:hAnsi="Noto Sans Symbols"/>
        <w:vertAlign w:val="baseline"/>
      </w:rPr>
    </w:lvl>
    <w:lvl w:ilvl="7">
      <w:start w:val="1"/>
      <w:numFmt w:val="bullet"/>
      <w:lvlText w:val="o"/>
      <w:lvlJc w:val="left"/>
      <w:pPr>
        <w:ind w:left="5466" w:hanging="360"/>
      </w:pPr>
      <w:rPr>
        <w:rFonts w:ascii="Courier New" w:cs="Courier New" w:eastAsia="Courier New" w:hAnsi="Courier New"/>
        <w:vertAlign w:val="baseline"/>
      </w:rPr>
    </w:lvl>
    <w:lvl w:ilvl="8">
      <w:start w:val="1"/>
      <w:numFmt w:val="bullet"/>
      <w:lvlText w:val="▪"/>
      <w:lvlJc w:val="left"/>
      <w:pPr>
        <w:ind w:left="6186"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360" w:hanging="360"/>
      </w:pPr>
      <w:rPr>
        <w:rFonts w:ascii="Noto Sans Symbols" w:cs="Noto Sans Symbols" w:eastAsia="Noto Sans Symbols" w:hAnsi="Noto Sans Symbols"/>
        <w:b w:val="1"/>
        <w:color w:val="7030a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eastAsia="en-GB"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character" w:styleId="HeaderChar">
    <w:name w:val="Header Char"/>
    <w:next w:val="HeaderChar"/>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en-GB" w:val="en-GB"/>
    </w:rPr>
  </w:style>
  <w:style w:type="paragraph" w:styleId="Footer">
    <w:name w:val="Footer"/>
    <w:basedOn w:val="Normal"/>
    <w:next w:val="Footer"/>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character" w:styleId="FooterChar">
    <w:name w:val="Footer Char"/>
    <w:next w:val="FooterChar"/>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en-GB" w:val="en-GB"/>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en-GB" w:val="en-GB"/>
    </w:rPr>
  </w:style>
  <w:style w:type="character" w:styleId="CommentTextChar">
    <w:name w:val="Comment Text Char"/>
    <w:next w:val="CommentTextChar"/>
    <w:autoRedefine w:val="0"/>
    <w:hidden w:val="0"/>
    <w:qFormat w:val="0"/>
    <w:rPr>
      <w:rFonts w:ascii="Times New Roman" w:eastAsia="Times New Roman" w:hAnsi="Times New Roman"/>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b w:val="1"/>
      <w:bCs w:val="1"/>
      <w:w w:val="100"/>
      <w:position w:val="-1"/>
      <w:sz w:val="20"/>
      <w:szCs w:val="20"/>
      <w:effect w:val="none"/>
      <w:vertAlign w:val="baseline"/>
      <w:cs w:val="0"/>
      <w:em w:val="none"/>
      <w:lang w:bidi="ar-SA" w:eastAsia="en-GB" w:val="en-GB"/>
    </w:rPr>
  </w:style>
  <w:style w:type="character" w:styleId="CommentSubjectChar">
    <w:name w:val="Comment Subject Char"/>
    <w:next w:val="CommentSubjectChar"/>
    <w:autoRedefine w:val="0"/>
    <w:hidden w:val="0"/>
    <w:qFormat w:val="0"/>
    <w:rPr>
      <w:rFonts w:ascii="Times New Roman" w:eastAsia="Times New Roman" w:hAnsi="Times New Roman"/>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0G4tyNBntL1sZUh1eS6KbhqERQ==">CgMxLjA4AGohChRzdWdnZXN0LjVqaHhyMmdwc2hkNhIJRGFuIFdoaXRlaiEKFHN1Z2dlc3Qud3UwNDNtZzBlNHdyEglEYW4gV2hpdGVqIQoUc3VnZ2VzdC5reXA3endlZTR4bzASCURhbiBXaGl0ZWohChRzdWdnZXN0LnVjc2M3Z3Nzd2Q3NxIJRGFuIFdoaXRlciExSFpDTzZheUFqWmUwX0kzeE4yeHhhQ0NpbjlBZ3lJMUE=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2016-01-07T21:17:00Z</dcterms:created>
  <dc:creator>user</dc:creator>
</cp:coreProperties>
</file>